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E38FF" w14:textId="056ECB53" w:rsidR="006D30F5" w:rsidRDefault="00DE109F" w:rsidP="00DE109F">
      <w:pPr>
        <w:pStyle w:val="NoSpacing"/>
        <w:rPr>
          <w:b/>
          <w:bCs/>
          <w:sz w:val="32"/>
          <w:szCs w:val="32"/>
        </w:rPr>
      </w:pPr>
      <w:r>
        <w:rPr>
          <w:b/>
          <w:bCs/>
          <w:sz w:val="32"/>
          <w:szCs w:val="32"/>
        </w:rPr>
        <w:t>COLDWELL BANKER</w:t>
      </w:r>
    </w:p>
    <w:p w14:paraId="067AE2EF" w14:textId="06BA57CC" w:rsidR="00DE109F" w:rsidRDefault="00DE109F" w:rsidP="00DE109F">
      <w:pPr>
        <w:pStyle w:val="NoSpacing"/>
        <w:rPr>
          <w:b/>
          <w:bCs/>
          <w:sz w:val="32"/>
          <w:szCs w:val="32"/>
        </w:rPr>
      </w:pPr>
      <w:r>
        <w:rPr>
          <w:b/>
          <w:bCs/>
          <w:sz w:val="32"/>
          <w:szCs w:val="32"/>
        </w:rPr>
        <w:t>VANGUARD REALTY</w:t>
      </w:r>
    </w:p>
    <w:p w14:paraId="35C6EA2D" w14:textId="2B129B9D" w:rsidR="00DE109F" w:rsidRDefault="00DE109F" w:rsidP="00DE109F">
      <w:pPr>
        <w:pStyle w:val="NoSpacing"/>
        <w:rPr>
          <w:b/>
          <w:bCs/>
          <w:sz w:val="32"/>
          <w:szCs w:val="32"/>
        </w:rPr>
      </w:pPr>
    </w:p>
    <w:p w14:paraId="03E892A8" w14:textId="69316B1A" w:rsidR="00DE109F" w:rsidRDefault="00DE109F" w:rsidP="00DE109F">
      <w:pPr>
        <w:pStyle w:val="NoSpacing"/>
        <w:rPr>
          <w:b/>
          <w:bCs/>
          <w:sz w:val="32"/>
          <w:szCs w:val="32"/>
        </w:rPr>
      </w:pPr>
      <w:r>
        <w:rPr>
          <w:b/>
          <w:bCs/>
          <w:sz w:val="32"/>
          <w:szCs w:val="32"/>
        </w:rPr>
        <w:t>Florida Real Estate Commission</w:t>
      </w:r>
    </w:p>
    <w:p w14:paraId="27E6A481" w14:textId="79DC30A1" w:rsidR="00DE109F" w:rsidRDefault="00840A34" w:rsidP="00DE109F">
      <w:pPr>
        <w:pStyle w:val="NoSpacing"/>
        <w:rPr>
          <w:b/>
          <w:bCs/>
          <w:sz w:val="32"/>
          <w:szCs w:val="32"/>
        </w:rPr>
      </w:pPr>
      <w:r>
        <w:rPr>
          <w:b/>
          <w:bCs/>
          <w:sz w:val="32"/>
          <w:szCs w:val="32"/>
        </w:rPr>
        <w:t>Regulation</w:t>
      </w:r>
      <w:r w:rsidR="00DE109F">
        <w:rPr>
          <w:b/>
          <w:bCs/>
          <w:sz w:val="32"/>
          <w:szCs w:val="32"/>
        </w:rPr>
        <w:t xml:space="preserve"> change for “real estate teams” and</w:t>
      </w:r>
    </w:p>
    <w:p w14:paraId="2E68E738" w14:textId="4AF98087" w:rsidR="00DE109F" w:rsidRDefault="00DE109F" w:rsidP="00DE109F">
      <w:pPr>
        <w:pStyle w:val="NoSpacing"/>
        <w:rPr>
          <w:b/>
          <w:bCs/>
          <w:sz w:val="32"/>
          <w:szCs w:val="32"/>
        </w:rPr>
      </w:pPr>
      <w:r>
        <w:rPr>
          <w:b/>
          <w:bCs/>
          <w:sz w:val="32"/>
          <w:szCs w:val="32"/>
        </w:rPr>
        <w:t>Coldwell Banker Vanguard Realty Assistance</w:t>
      </w:r>
    </w:p>
    <w:p w14:paraId="60C4A690" w14:textId="7336D540" w:rsidR="00DE109F" w:rsidRDefault="00DE109F" w:rsidP="00DE109F">
      <w:pPr>
        <w:pStyle w:val="NoSpacing"/>
        <w:rPr>
          <w:b/>
          <w:bCs/>
          <w:sz w:val="32"/>
          <w:szCs w:val="32"/>
        </w:rPr>
      </w:pPr>
    </w:p>
    <w:p w14:paraId="57E72DD4" w14:textId="6207D720" w:rsidR="00DE109F" w:rsidRDefault="00DE109F" w:rsidP="00DE109F">
      <w:pPr>
        <w:pStyle w:val="NoSpacing"/>
        <w:jc w:val="both"/>
        <w:rPr>
          <w:sz w:val="32"/>
          <w:szCs w:val="32"/>
        </w:rPr>
      </w:pPr>
      <w:r>
        <w:rPr>
          <w:sz w:val="32"/>
          <w:szCs w:val="32"/>
        </w:rPr>
        <w:t xml:space="preserve">The Florida Real Estate Commission (FREC) enacted </w:t>
      </w:r>
      <w:r w:rsidR="00840A34">
        <w:rPr>
          <w:sz w:val="32"/>
          <w:szCs w:val="32"/>
        </w:rPr>
        <w:t>Regulation</w:t>
      </w:r>
      <w:r>
        <w:rPr>
          <w:sz w:val="32"/>
          <w:szCs w:val="32"/>
        </w:rPr>
        <w:t xml:space="preserve"> 61J2-10.026 (copy attached) to ensure the public has a complete understanding of the license status of real estate practitioners they may be dealing with.  </w:t>
      </w:r>
      <w:r w:rsidR="00DE544D">
        <w:rPr>
          <w:sz w:val="32"/>
          <w:szCs w:val="32"/>
        </w:rPr>
        <w:t xml:space="preserve">The </w:t>
      </w:r>
      <w:r w:rsidR="00840A34">
        <w:rPr>
          <w:sz w:val="32"/>
          <w:szCs w:val="32"/>
        </w:rPr>
        <w:t>Regulation</w:t>
      </w:r>
      <w:r w:rsidR="00DE544D">
        <w:rPr>
          <w:sz w:val="32"/>
          <w:szCs w:val="32"/>
        </w:rPr>
        <w:t xml:space="preserve"> is effective July 1, 2019.  </w:t>
      </w:r>
      <w:r>
        <w:rPr>
          <w:sz w:val="32"/>
          <w:szCs w:val="32"/>
        </w:rPr>
        <w:t xml:space="preserve">The thrust </w:t>
      </w:r>
      <w:r w:rsidR="00316C0A">
        <w:rPr>
          <w:sz w:val="32"/>
          <w:szCs w:val="32"/>
        </w:rPr>
        <w:t>OF</w:t>
      </w:r>
      <w:r>
        <w:rPr>
          <w:sz w:val="32"/>
          <w:szCs w:val="32"/>
        </w:rPr>
        <w:t xml:space="preserve"> the </w:t>
      </w:r>
      <w:r w:rsidR="00840A34">
        <w:rPr>
          <w:sz w:val="32"/>
          <w:szCs w:val="32"/>
        </w:rPr>
        <w:t>Regulation</w:t>
      </w:r>
      <w:r>
        <w:rPr>
          <w:sz w:val="32"/>
          <w:szCs w:val="32"/>
        </w:rPr>
        <w:t xml:space="preserve"> is to ensure the name of the broker/broke</w:t>
      </w:r>
      <w:r w:rsidR="00DE544D">
        <w:rPr>
          <w:sz w:val="32"/>
          <w:szCs w:val="32"/>
        </w:rPr>
        <w:t>r</w:t>
      </w:r>
      <w:r>
        <w:rPr>
          <w:sz w:val="32"/>
          <w:szCs w:val="32"/>
        </w:rPr>
        <w:t>age is at least as large as the name of the team.</w:t>
      </w:r>
      <w:r w:rsidR="00316C0A">
        <w:rPr>
          <w:sz w:val="32"/>
          <w:szCs w:val="32"/>
        </w:rPr>
        <w:t xml:space="preserve">  </w:t>
      </w:r>
    </w:p>
    <w:p w14:paraId="5CA3C8F7" w14:textId="77777777" w:rsidR="00DE109F" w:rsidRDefault="00DE109F" w:rsidP="00DE109F">
      <w:pPr>
        <w:pStyle w:val="NoSpacing"/>
        <w:jc w:val="both"/>
        <w:rPr>
          <w:sz w:val="32"/>
          <w:szCs w:val="32"/>
        </w:rPr>
      </w:pPr>
    </w:p>
    <w:p w14:paraId="199FEA85" w14:textId="60EE5CDC" w:rsidR="00DE109F" w:rsidRDefault="00DE544D" w:rsidP="00DE109F">
      <w:pPr>
        <w:pStyle w:val="NoSpacing"/>
        <w:jc w:val="both"/>
        <w:rPr>
          <w:sz w:val="32"/>
          <w:szCs w:val="32"/>
        </w:rPr>
      </w:pPr>
      <w:r>
        <w:rPr>
          <w:sz w:val="32"/>
          <w:szCs w:val="32"/>
        </w:rPr>
        <w:t xml:space="preserve">A copy of the </w:t>
      </w:r>
      <w:r w:rsidR="00840A34">
        <w:rPr>
          <w:sz w:val="32"/>
          <w:szCs w:val="32"/>
        </w:rPr>
        <w:t>Regulation</w:t>
      </w:r>
      <w:r>
        <w:rPr>
          <w:sz w:val="32"/>
          <w:szCs w:val="32"/>
        </w:rPr>
        <w:t xml:space="preserve"> is attached to this memorandum, please review same. </w:t>
      </w:r>
      <w:r w:rsidR="00316C0A" w:rsidRPr="00316C0A">
        <w:rPr>
          <w:sz w:val="32"/>
          <w:szCs w:val="32"/>
          <w:u w:val="single"/>
        </w:rPr>
        <w:t>Not specifically spelled out in the memo, but verified through the Florida Realtor’s Hotline, is that any two or more agents who market together are considered a team under the Regulation.</w:t>
      </w:r>
      <w:r>
        <w:rPr>
          <w:sz w:val="32"/>
          <w:szCs w:val="32"/>
        </w:rPr>
        <w:t xml:space="preserve"> As the brokerage</w:t>
      </w:r>
      <w:r w:rsidR="00316C0A">
        <w:rPr>
          <w:sz w:val="32"/>
          <w:szCs w:val="32"/>
        </w:rPr>
        <w:t>,</w:t>
      </w:r>
      <w:r>
        <w:rPr>
          <w:sz w:val="32"/>
          <w:szCs w:val="32"/>
        </w:rPr>
        <w:t xml:space="preserve"> Coldwell Banker Vanguard </w:t>
      </w:r>
      <w:r w:rsidR="00840A34">
        <w:rPr>
          <w:sz w:val="32"/>
          <w:szCs w:val="32"/>
        </w:rPr>
        <w:t>Realty (CBV) must</w:t>
      </w:r>
      <w:r>
        <w:rPr>
          <w:sz w:val="32"/>
          <w:szCs w:val="32"/>
        </w:rPr>
        <w:t xml:space="preserve"> keep a monthly record of each team’s </w:t>
      </w:r>
      <w:r w:rsidR="00316C0A">
        <w:rPr>
          <w:sz w:val="32"/>
          <w:szCs w:val="32"/>
        </w:rPr>
        <w:t>“</w:t>
      </w:r>
      <w:r>
        <w:rPr>
          <w:sz w:val="32"/>
          <w:szCs w:val="32"/>
        </w:rPr>
        <w:t xml:space="preserve">designated licensee” and “team or group members”.  This roster is to be available to FREC and the designated licensee is responsible for </w:t>
      </w:r>
      <w:r w:rsidR="00840A34">
        <w:rPr>
          <w:sz w:val="32"/>
          <w:szCs w:val="32"/>
        </w:rPr>
        <w:t>ensuring</w:t>
      </w:r>
      <w:r>
        <w:rPr>
          <w:sz w:val="32"/>
          <w:szCs w:val="32"/>
        </w:rPr>
        <w:t xml:space="preserve"> all advertising is in compliance.</w:t>
      </w:r>
      <w:r w:rsidR="00316C0A">
        <w:rPr>
          <w:sz w:val="32"/>
          <w:szCs w:val="32"/>
        </w:rPr>
        <w:t xml:space="preserve">  Also attached to this memo is the list that CBV feels is affected by the Regulation and the designated licensee for each group.  If you are listed as the designated licensee and feel this is incorrect please send an email stating same to </w:t>
      </w:r>
      <w:hyperlink r:id="rId5" w:history="1">
        <w:r w:rsidR="00316C0A" w:rsidRPr="00F25B34">
          <w:rPr>
            <w:rStyle w:val="Hyperlink"/>
            <w:sz w:val="32"/>
            <w:szCs w:val="32"/>
          </w:rPr>
          <w:t>petedalton@cbvfl.com</w:t>
        </w:r>
      </w:hyperlink>
      <w:r w:rsidR="00316C0A">
        <w:rPr>
          <w:sz w:val="32"/>
          <w:szCs w:val="32"/>
        </w:rPr>
        <w:t xml:space="preserve">. </w:t>
      </w:r>
      <w:bookmarkStart w:id="0" w:name="_GoBack"/>
      <w:bookmarkEnd w:id="0"/>
    </w:p>
    <w:p w14:paraId="6F173003" w14:textId="6799D8BA" w:rsidR="00DE544D" w:rsidRDefault="00DE544D" w:rsidP="00DE109F">
      <w:pPr>
        <w:pStyle w:val="NoSpacing"/>
        <w:jc w:val="both"/>
        <w:rPr>
          <w:sz w:val="32"/>
          <w:szCs w:val="32"/>
        </w:rPr>
      </w:pPr>
    </w:p>
    <w:p w14:paraId="141C384E" w14:textId="3A1E8FB0" w:rsidR="00DE544D" w:rsidRDefault="00DE544D" w:rsidP="00DE109F">
      <w:pPr>
        <w:pStyle w:val="NoSpacing"/>
        <w:jc w:val="both"/>
        <w:rPr>
          <w:sz w:val="32"/>
          <w:szCs w:val="32"/>
        </w:rPr>
      </w:pPr>
      <w:r>
        <w:rPr>
          <w:sz w:val="32"/>
          <w:szCs w:val="32"/>
        </w:rPr>
        <w:t>Coldwell Banker Vanguard Realty will be of assistance in this process</w:t>
      </w:r>
      <w:r w:rsidR="00840A34">
        <w:rPr>
          <w:sz w:val="32"/>
          <w:szCs w:val="32"/>
        </w:rPr>
        <w:t>, however, the</w:t>
      </w:r>
      <w:r>
        <w:rPr>
          <w:sz w:val="32"/>
          <w:szCs w:val="32"/>
        </w:rPr>
        <w:t xml:space="preserve"> responsibility is on the designated licensee.  To assist teams CBV will:</w:t>
      </w:r>
    </w:p>
    <w:p w14:paraId="45AE61E0" w14:textId="6C4A95E5" w:rsidR="00DE544D" w:rsidRDefault="00DE544D" w:rsidP="00DE544D">
      <w:pPr>
        <w:pStyle w:val="NoSpacing"/>
        <w:numPr>
          <w:ilvl w:val="0"/>
          <w:numId w:val="1"/>
        </w:numPr>
        <w:jc w:val="both"/>
        <w:rPr>
          <w:sz w:val="32"/>
          <w:szCs w:val="32"/>
        </w:rPr>
      </w:pPr>
      <w:r>
        <w:rPr>
          <w:sz w:val="32"/>
          <w:szCs w:val="32"/>
        </w:rPr>
        <w:t>Correct all websites that are facilitated by CBV</w:t>
      </w:r>
    </w:p>
    <w:p w14:paraId="04655241" w14:textId="2964F313" w:rsidR="00DE544D" w:rsidRDefault="00DE544D" w:rsidP="00DE544D">
      <w:pPr>
        <w:pStyle w:val="NoSpacing"/>
        <w:numPr>
          <w:ilvl w:val="0"/>
          <w:numId w:val="1"/>
        </w:numPr>
        <w:jc w:val="both"/>
        <w:rPr>
          <w:sz w:val="32"/>
          <w:szCs w:val="32"/>
        </w:rPr>
      </w:pPr>
      <w:r>
        <w:rPr>
          <w:sz w:val="32"/>
          <w:szCs w:val="32"/>
        </w:rPr>
        <w:t>Correct all E-signatures for teams</w:t>
      </w:r>
    </w:p>
    <w:p w14:paraId="7B3FAF7D" w14:textId="66D2713A" w:rsidR="00DE544D" w:rsidRDefault="00DE544D" w:rsidP="00DE544D">
      <w:pPr>
        <w:pStyle w:val="NoSpacing"/>
        <w:numPr>
          <w:ilvl w:val="0"/>
          <w:numId w:val="1"/>
        </w:numPr>
        <w:jc w:val="both"/>
        <w:rPr>
          <w:sz w:val="32"/>
          <w:szCs w:val="32"/>
        </w:rPr>
      </w:pPr>
      <w:r>
        <w:rPr>
          <w:sz w:val="32"/>
          <w:szCs w:val="32"/>
        </w:rPr>
        <w:t>Correct all E-card headings for teams</w:t>
      </w:r>
    </w:p>
    <w:p w14:paraId="324E9EBB" w14:textId="003CB275" w:rsidR="00DE544D" w:rsidRDefault="00DE544D" w:rsidP="00DE544D">
      <w:pPr>
        <w:pStyle w:val="NoSpacing"/>
        <w:numPr>
          <w:ilvl w:val="0"/>
          <w:numId w:val="1"/>
        </w:numPr>
        <w:jc w:val="both"/>
        <w:rPr>
          <w:sz w:val="32"/>
          <w:szCs w:val="32"/>
        </w:rPr>
      </w:pPr>
      <w:r>
        <w:rPr>
          <w:sz w:val="32"/>
          <w:szCs w:val="32"/>
        </w:rPr>
        <w:t>Correct all printed materials ordered through Concierge Service.</w:t>
      </w:r>
    </w:p>
    <w:p w14:paraId="3396E90E" w14:textId="77777777" w:rsidR="00DE544D" w:rsidRDefault="00DE544D" w:rsidP="00DE544D">
      <w:pPr>
        <w:pStyle w:val="NoSpacing"/>
        <w:ind w:left="720"/>
        <w:jc w:val="both"/>
        <w:rPr>
          <w:sz w:val="32"/>
          <w:szCs w:val="32"/>
        </w:rPr>
      </w:pPr>
    </w:p>
    <w:p w14:paraId="0E935BF6" w14:textId="2E99B2A5" w:rsidR="00DE544D" w:rsidRDefault="00DE544D" w:rsidP="00DE544D">
      <w:pPr>
        <w:pStyle w:val="NoSpacing"/>
        <w:jc w:val="both"/>
        <w:rPr>
          <w:sz w:val="32"/>
          <w:szCs w:val="32"/>
        </w:rPr>
      </w:pPr>
      <w:r>
        <w:rPr>
          <w:sz w:val="32"/>
          <w:szCs w:val="32"/>
        </w:rPr>
        <w:t xml:space="preserve">Concierge Service </w:t>
      </w:r>
      <w:r w:rsidR="00840A34">
        <w:rPr>
          <w:sz w:val="32"/>
          <w:szCs w:val="32"/>
        </w:rPr>
        <w:t>(CS)</w:t>
      </w:r>
      <w:r>
        <w:rPr>
          <w:sz w:val="32"/>
          <w:szCs w:val="32"/>
        </w:rPr>
        <w:t xml:space="preserve">will accomplish this by </w:t>
      </w:r>
      <w:r w:rsidR="00840A34">
        <w:rPr>
          <w:sz w:val="32"/>
          <w:szCs w:val="32"/>
        </w:rPr>
        <w:t>ensuring</w:t>
      </w:r>
      <w:r>
        <w:rPr>
          <w:sz w:val="32"/>
          <w:szCs w:val="32"/>
        </w:rPr>
        <w:t xml:space="preserve"> all personal branding, created by Concierge Service, meets the FREC guideline.  If a team wishes to have additional graphics work completed</w:t>
      </w:r>
      <w:r w:rsidR="00840A34">
        <w:rPr>
          <w:sz w:val="32"/>
          <w:szCs w:val="32"/>
        </w:rPr>
        <w:t xml:space="preserve"> CS will accomplish this on a time/billing basis.</w:t>
      </w:r>
    </w:p>
    <w:p w14:paraId="0CF5C5C4" w14:textId="4BB0B8E2" w:rsidR="00840A34" w:rsidRDefault="00840A34" w:rsidP="00DE544D">
      <w:pPr>
        <w:pStyle w:val="NoSpacing"/>
        <w:jc w:val="both"/>
        <w:rPr>
          <w:sz w:val="32"/>
          <w:szCs w:val="32"/>
        </w:rPr>
      </w:pPr>
    </w:p>
    <w:p w14:paraId="55B19748" w14:textId="633CAA82" w:rsidR="00840A34" w:rsidRDefault="00840A34" w:rsidP="00DE544D">
      <w:pPr>
        <w:pStyle w:val="NoSpacing"/>
        <w:jc w:val="both"/>
        <w:rPr>
          <w:sz w:val="32"/>
          <w:szCs w:val="32"/>
        </w:rPr>
      </w:pPr>
      <w:r>
        <w:rPr>
          <w:sz w:val="32"/>
          <w:szCs w:val="32"/>
        </w:rPr>
        <w:t xml:space="preserve">CBV will specifically </w:t>
      </w:r>
      <w:r w:rsidRPr="00840A34">
        <w:rPr>
          <w:sz w:val="32"/>
          <w:szCs w:val="32"/>
          <w:u w:val="single"/>
        </w:rPr>
        <w:t>not</w:t>
      </w:r>
      <w:r>
        <w:rPr>
          <w:sz w:val="32"/>
          <w:szCs w:val="32"/>
        </w:rPr>
        <w:t xml:space="preserve"> correct the following:</w:t>
      </w:r>
    </w:p>
    <w:p w14:paraId="29662228" w14:textId="0AF3B7F4" w:rsidR="00840A34" w:rsidRDefault="00840A34" w:rsidP="00840A34">
      <w:pPr>
        <w:pStyle w:val="NoSpacing"/>
        <w:numPr>
          <w:ilvl w:val="0"/>
          <w:numId w:val="2"/>
        </w:numPr>
        <w:jc w:val="both"/>
        <w:rPr>
          <w:sz w:val="32"/>
          <w:szCs w:val="32"/>
        </w:rPr>
      </w:pPr>
      <w:r>
        <w:rPr>
          <w:sz w:val="32"/>
          <w:szCs w:val="32"/>
        </w:rPr>
        <w:t>Social media</w:t>
      </w:r>
    </w:p>
    <w:p w14:paraId="42E4D2E6" w14:textId="04C35BBC" w:rsidR="00840A34" w:rsidRDefault="00840A34" w:rsidP="00840A34">
      <w:pPr>
        <w:pStyle w:val="NoSpacing"/>
        <w:numPr>
          <w:ilvl w:val="0"/>
          <w:numId w:val="2"/>
        </w:numPr>
        <w:jc w:val="both"/>
        <w:rPr>
          <w:sz w:val="32"/>
          <w:szCs w:val="32"/>
        </w:rPr>
      </w:pPr>
      <w:r>
        <w:rPr>
          <w:sz w:val="32"/>
          <w:szCs w:val="32"/>
        </w:rPr>
        <w:t>Cover inserts on websites</w:t>
      </w:r>
    </w:p>
    <w:p w14:paraId="55A2E495" w14:textId="15A8D74A" w:rsidR="00840A34" w:rsidRDefault="00840A34" w:rsidP="00840A34">
      <w:pPr>
        <w:pStyle w:val="NoSpacing"/>
        <w:numPr>
          <w:ilvl w:val="0"/>
          <w:numId w:val="2"/>
        </w:numPr>
        <w:jc w:val="both"/>
        <w:rPr>
          <w:sz w:val="32"/>
          <w:szCs w:val="32"/>
        </w:rPr>
      </w:pPr>
      <w:r>
        <w:rPr>
          <w:sz w:val="32"/>
          <w:szCs w:val="32"/>
        </w:rPr>
        <w:t>Externally purchased digital/social/electronic media</w:t>
      </w:r>
    </w:p>
    <w:p w14:paraId="0957F22D" w14:textId="4485EE8E" w:rsidR="00840A34" w:rsidRDefault="00840A34" w:rsidP="00840A34">
      <w:pPr>
        <w:pStyle w:val="NoSpacing"/>
        <w:numPr>
          <w:ilvl w:val="0"/>
          <w:numId w:val="2"/>
        </w:numPr>
        <w:jc w:val="both"/>
        <w:rPr>
          <w:sz w:val="32"/>
          <w:szCs w:val="32"/>
        </w:rPr>
      </w:pPr>
      <w:r>
        <w:rPr>
          <w:sz w:val="32"/>
          <w:szCs w:val="32"/>
        </w:rPr>
        <w:t>Products purchased from vendors other than CS.</w:t>
      </w:r>
    </w:p>
    <w:p w14:paraId="611D9D6B" w14:textId="482CF7EC" w:rsidR="00840A34" w:rsidRDefault="00840A34" w:rsidP="00840A34">
      <w:pPr>
        <w:pStyle w:val="NoSpacing"/>
        <w:jc w:val="both"/>
        <w:rPr>
          <w:sz w:val="32"/>
          <w:szCs w:val="32"/>
        </w:rPr>
      </w:pPr>
    </w:p>
    <w:p w14:paraId="003001B7" w14:textId="3677B534" w:rsidR="00840A34" w:rsidRPr="00DE109F" w:rsidRDefault="00840A34" w:rsidP="00840A34">
      <w:pPr>
        <w:pStyle w:val="NoSpacing"/>
        <w:jc w:val="both"/>
        <w:rPr>
          <w:sz w:val="32"/>
          <w:szCs w:val="32"/>
        </w:rPr>
      </w:pPr>
      <w:r>
        <w:rPr>
          <w:sz w:val="32"/>
          <w:szCs w:val="32"/>
        </w:rPr>
        <w:t>CBV is specifically not responsible for any product that does not meet the guidelines and was not created by CS.</w:t>
      </w:r>
    </w:p>
    <w:sectPr w:rsidR="00840A34" w:rsidRPr="00DE1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80320"/>
    <w:multiLevelType w:val="hybridMultilevel"/>
    <w:tmpl w:val="0CCE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F90C6C"/>
    <w:multiLevelType w:val="hybridMultilevel"/>
    <w:tmpl w:val="81B6A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9F"/>
    <w:rsid w:val="00316C0A"/>
    <w:rsid w:val="006D30F5"/>
    <w:rsid w:val="00840A34"/>
    <w:rsid w:val="00DE109F"/>
    <w:rsid w:val="00DE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F4AC"/>
  <w15:chartTrackingRefBased/>
  <w15:docId w15:val="{C412D0B1-90AA-49D4-80B4-BDA2AF53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109F"/>
    <w:pPr>
      <w:spacing w:after="0" w:line="240" w:lineRule="auto"/>
    </w:pPr>
  </w:style>
  <w:style w:type="character" w:styleId="Hyperlink">
    <w:name w:val="Hyperlink"/>
    <w:basedOn w:val="DefaultParagraphFont"/>
    <w:uiPriority w:val="99"/>
    <w:unhideWhenUsed/>
    <w:rsid w:val="00316C0A"/>
    <w:rPr>
      <w:color w:val="0563C1" w:themeColor="hyperlink"/>
      <w:u w:val="single"/>
    </w:rPr>
  </w:style>
  <w:style w:type="character" w:styleId="UnresolvedMention">
    <w:name w:val="Unresolved Mention"/>
    <w:basedOn w:val="DefaultParagraphFont"/>
    <w:uiPriority w:val="99"/>
    <w:semiHidden/>
    <w:unhideWhenUsed/>
    <w:rsid w:val="00316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tedalton@cbv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Dalton</dc:creator>
  <cp:keywords/>
  <dc:description/>
  <cp:lastModifiedBy>Peter Dalton</cp:lastModifiedBy>
  <cp:revision>2</cp:revision>
  <dcterms:created xsi:type="dcterms:W3CDTF">2019-06-24T19:30:00Z</dcterms:created>
  <dcterms:modified xsi:type="dcterms:W3CDTF">2019-06-24T20:12:00Z</dcterms:modified>
</cp:coreProperties>
</file>